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EE" w:rsidRPr="00E93938" w:rsidRDefault="007349EE" w:rsidP="00513D52">
      <w:pPr>
        <w:pStyle w:val="Zkladntext"/>
        <w:rPr>
          <w:rFonts w:ascii="Times New Roman" w:hAnsi="Times New Roman"/>
          <w:szCs w:val="24"/>
        </w:rPr>
      </w:pPr>
    </w:p>
    <w:p w:rsidR="007349EE" w:rsidRPr="00E93938" w:rsidRDefault="007349EE" w:rsidP="00513D52">
      <w:pPr>
        <w:pStyle w:val="Zkladntext"/>
        <w:jc w:val="center"/>
        <w:rPr>
          <w:rFonts w:ascii="Times New Roman" w:hAnsi="Times New Roman"/>
          <w:sz w:val="32"/>
          <w:szCs w:val="24"/>
        </w:rPr>
      </w:pPr>
      <w:r w:rsidRPr="00E93938">
        <w:rPr>
          <w:rFonts w:ascii="Times New Roman" w:hAnsi="Times New Roman"/>
          <w:sz w:val="32"/>
          <w:szCs w:val="24"/>
        </w:rPr>
        <w:t xml:space="preserve">Veřejnoprávní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C1112D" w:rsidP="00513D52">
      <w:pPr>
        <w:pStyle w:val="Zkladntext"/>
        <w:jc w:val="center"/>
        <w:rPr>
          <w:rFonts w:ascii="Times New Roman" w:hAnsi="Times New Roman"/>
          <w:sz w:val="32"/>
          <w:szCs w:val="24"/>
        </w:rPr>
      </w:pPr>
      <w:r>
        <w:rPr>
          <w:rFonts w:ascii="Times New Roman" w:hAnsi="Times New Roman"/>
          <w:sz w:val="32"/>
          <w:szCs w:val="24"/>
        </w:rPr>
        <w:t>číslo: II</w:t>
      </w:r>
      <w:r w:rsidR="00EF58E2">
        <w:rPr>
          <w:rFonts w:ascii="Times New Roman" w:hAnsi="Times New Roman"/>
          <w:sz w:val="32"/>
          <w:szCs w:val="24"/>
        </w:rPr>
        <w:t>/2018</w:t>
      </w:r>
      <w:r>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 xml:space="preserve">dle § 10a odst. 5 a </w:t>
      </w:r>
      <w:proofErr w:type="gramStart"/>
      <w:r w:rsidR="004E7452">
        <w:rPr>
          <w:rFonts w:ascii="Times New Roman" w:hAnsi="Times New Roman"/>
          <w:szCs w:val="24"/>
        </w:rPr>
        <w:t>násl.</w:t>
      </w:r>
      <w:r w:rsidR="000340FA" w:rsidRPr="00E93938">
        <w:rPr>
          <w:rFonts w:ascii="Times New Roman" w:hAnsi="Times New Roman"/>
          <w:szCs w:val="24"/>
        </w:rPr>
        <w:t xml:space="preserve"> z.č.</w:t>
      </w:r>
      <w:proofErr w:type="gramEnd"/>
      <w:r w:rsidR="000340FA" w:rsidRPr="00E93938">
        <w:rPr>
          <w:rFonts w:ascii="Times New Roman" w:hAnsi="Times New Roman"/>
          <w:szCs w:val="24"/>
        </w:rPr>
        <w:t xml:space="preserve">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proofErr w:type="gramStart"/>
      <w:r w:rsidRPr="00E93938">
        <w:rPr>
          <w:rFonts w:ascii="Times New Roman" w:hAnsi="Times New Roman"/>
          <w:szCs w:val="24"/>
        </w:rPr>
        <w:t>mezi:</w:t>
      </w:r>
      <w:proofErr w:type="gramEnd"/>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C1112D"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spacing w:before="60"/>
        <w:ind w:left="2552" w:hanging="2520"/>
        <w:jc w:val="both"/>
        <w:rPr>
          <w:i/>
          <w:color w:val="00B050"/>
        </w:rPr>
      </w:pPr>
      <w:r w:rsidRPr="00E93938">
        <w:t xml:space="preserve">Příjemcem dotace: </w:t>
      </w:r>
      <w:r w:rsidRPr="00E93938">
        <w:tab/>
      </w:r>
      <w:r w:rsidRPr="00E93938">
        <w:rPr>
          <w:b/>
        </w:rPr>
        <w:t>TJ Bystřička</w:t>
      </w:r>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7349EE" w:rsidP="00513D52">
      <w:pPr>
        <w:spacing w:before="60"/>
        <w:ind w:left="2520"/>
        <w:jc w:val="both"/>
        <w:rPr>
          <w:i/>
          <w:color w:val="00B050"/>
        </w:rPr>
      </w:pPr>
      <w:r w:rsidRPr="00E93938">
        <w:t xml:space="preserve">IČ: </w:t>
      </w:r>
      <w:r w:rsidRPr="00E93938">
        <w:tab/>
      </w:r>
      <w:r w:rsidRPr="00E93938">
        <w:tab/>
        <w:t>688 98 398</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7349EE" w:rsidP="00D7740B">
      <w:pPr>
        <w:spacing w:before="60"/>
        <w:ind w:left="2520"/>
        <w:jc w:val="both"/>
      </w:pPr>
      <w:r w:rsidRPr="00E93938">
        <w:t>zastoupený:</w:t>
      </w:r>
      <w:r w:rsidRPr="00E93938">
        <w:tab/>
        <w:t xml:space="preserve">předsedou výkonného výboru Ivanem Výmolou, </w:t>
      </w:r>
      <w:r w:rsidRPr="00E93938">
        <w:tab/>
      </w:r>
      <w:r w:rsidRPr="00E93938">
        <w:tab/>
      </w:r>
      <w:r w:rsidRPr="00E93938">
        <w:tab/>
        <w:t xml:space="preserve">nar. </w:t>
      </w:r>
      <w:proofErr w:type="gramStart"/>
      <w:r w:rsidRPr="00E93938">
        <w:t>18.03.1964</w:t>
      </w:r>
      <w:proofErr w:type="gramEnd"/>
      <w:r w:rsidRPr="00E93938">
        <w:t xml:space="preserve"> </w:t>
      </w:r>
      <w:r w:rsidRPr="00E93938">
        <w:tab/>
      </w:r>
      <w:r w:rsidRPr="00E93938">
        <w:tab/>
      </w:r>
      <w:r w:rsidRPr="00E93938">
        <w:tab/>
      </w:r>
      <w:r w:rsidRPr="00E93938">
        <w:tab/>
      </w:r>
      <w:r w:rsidRPr="00E93938">
        <w:tab/>
      </w:r>
      <w:r w:rsidRPr="00E93938">
        <w:tab/>
      </w:r>
      <w:r w:rsidRPr="00E93938">
        <w:tab/>
        <w:t>bytem Bystřička 315, PSČ: 756 24</w:t>
      </w:r>
    </w:p>
    <w:p w:rsidR="007349EE" w:rsidRPr="00E93938" w:rsidRDefault="00C1112D" w:rsidP="00513D52">
      <w:pPr>
        <w:spacing w:before="60"/>
        <w:ind w:left="2520"/>
        <w:jc w:val="both"/>
        <w:rPr>
          <w:color w:val="00B050"/>
        </w:rPr>
      </w:pPr>
      <w:r>
        <w:t>bankovní spojení:</w:t>
      </w:r>
      <w:r>
        <w:tab/>
        <w:t xml:space="preserve"> 214036738/0300</w:t>
      </w:r>
    </w:p>
    <w:p w:rsidR="007349EE" w:rsidRPr="00E93938" w:rsidRDefault="007349EE" w:rsidP="00513D52">
      <w:pPr>
        <w:pStyle w:val="Zkladntext"/>
        <w:spacing w:before="60"/>
        <w:ind w:left="2517" w:right="142"/>
        <w:rPr>
          <w:rFonts w:ascii="Times New Roman" w:hAnsi="Times New Roman"/>
          <w:i/>
          <w:color w:val="00B050"/>
          <w:szCs w:val="24"/>
        </w:rPr>
      </w:pPr>
      <w:r w:rsidRPr="00E93938">
        <w:rPr>
          <w:rFonts w:ascii="Times New Roman" w:hAnsi="Times New Roman"/>
          <w:szCs w:val="24"/>
        </w:rPr>
        <w:t>zapsaný:</w:t>
      </w:r>
      <w:r w:rsidRPr="00E93938">
        <w:rPr>
          <w:rFonts w:ascii="Times New Roman" w:hAnsi="Times New Roman"/>
          <w:szCs w:val="24"/>
        </w:rPr>
        <w:tab/>
        <w:t xml:space="preserve">u KS v Ostravě, oddíl L, </w:t>
      </w:r>
      <w:proofErr w:type="gramStart"/>
      <w:r w:rsidRPr="00E93938">
        <w:rPr>
          <w:rFonts w:ascii="Times New Roman" w:hAnsi="Times New Roman"/>
          <w:szCs w:val="24"/>
        </w:rPr>
        <w:t>vložka  576</w:t>
      </w:r>
      <w:proofErr w:type="gramEnd"/>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r w:rsidRPr="00CF4DAD">
        <w:rPr>
          <w:b/>
        </w:rPr>
        <w:t>70.000,- Kč</w:t>
      </w:r>
      <w:r w:rsidRPr="00E93938">
        <w:t xml:space="preserve"> (slovy </w:t>
      </w:r>
      <w:proofErr w:type="spellStart"/>
      <w:r w:rsidRPr="00E93938">
        <w:t>sedmdesáttisíckorunčeských</w:t>
      </w:r>
      <w:proofErr w:type="spellEnd"/>
      <w:r w:rsidRPr="00E93938">
        <w:t>) na účet uvedený v záhl</w:t>
      </w:r>
      <w:r w:rsidR="00C1112D">
        <w:t>aví této smlouvy, ve lhůtě do 15</w:t>
      </w:r>
      <w:r w:rsidRPr="00E93938">
        <w:t xml:space="preserve"> dnů od schválení Zastupitelstvem obce Bystřička.</w:t>
      </w:r>
    </w:p>
    <w:p w:rsidR="00C67F91" w:rsidRPr="00E93938" w:rsidRDefault="00C67F91" w:rsidP="00C67F91">
      <w:pPr>
        <w:pStyle w:val="Odstavecseseznamem"/>
        <w:spacing w:before="60"/>
        <w:ind w:left="360"/>
        <w:jc w:val="both"/>
      </w:pPr>
    </w:p>
    <w:p w:rsidR="007349EE" w:rsidRPr="00E93938"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C67F91">
        <w:t> období o</w:t>
      </w:r>
      <w:r w:rsidR="00547FEC">
        <w:t>d</w:t>
      </w:r>
      <w:r w:rsidR="00D22D12">
        <w:t xml:space="preserve"> </w:t>
      </w:r>
      <w:proofErr w:type="gramStart"/>
      <w:r w:rsidR="00D22D12">
        <w:t>01.02.2019</w:t>
      </w:r>
      <w:proofErr w:type="gramEnd"/>
      <w:r w:rsidR="00D22D12">
        <w:t xml:space="preserve"> do 15.10.2019</w:t>
      </w:r>
      <w:r w:rsidRPr="00E93938">
        <w:t>, vztahujících se ke stanovenému účelu poskytnutí, které budou u</w:t>
      </w:r>
      <w:r w:rsidR="00D22D12">
        <w:t>hrazeny nejpozději do 15.10.2019</w:t>
      </w:r>
      <w:r w:rsidRPr="00E93938">
        <w:rPr>
          <w:color w:val="000000"/>
        </w:rPr>
        <w:t>. Finanční prostředky nelze převádět do následujícího kalendářního roku.</w:t>
      </w:r>
    </w:p>
    <w:p w:rsidR="007349EE" w:rsidRPr="00E93938" w:rsidRDefault="007349EE" w:rsidP="00513D52">
      <w:pPr>
        <w:pStyle w:val="Odstavecseseznamem"/>
        <w:overflowPunct w:val="0"/>
        <w:autoSpaceDE w:val="0"/>
        <w:autoSpaceDN w:val="0"/>
        <w:adjustRightInd w:val="0"/>
        <w:spacing w:before="60"/>
        <w:jc w:val="both"/>
        <w:rPr>
          <w:i/>
          <w:color w:val="00B050"/>
        </w:rPr>
      </w:pPr>
    </w:p>
    <w:p w:rsidR="007349EE" w:rsidRPr="00C67F91" w:rsidRDefault="005A51DF" w:rsidP="00C67F91">
      <w:pPr>
        <w:pStyle w:val="Odstavecseseznamem"/>
        <w:numPr>
          <w:ilvl w:val="0"/>
          <w:numId w:val="1"/>
        </w:numPr>
        <w:overflowPunct w:val="0"/>
        <w:autoSpaceDE w:val="0"/>
        <w:autoSpaceDN w:val="0"/>
        <w:adjustRightInd w:val="0"/>
        <w:spacing w:before="60"/>
        <w:jc w:val="both"/>
        <w:rPr>
          <w:color w:val="00B050"/>
        </w:rPr>
      </w:pPr>
      <w:r w:rsidRPr="00E93938">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E93938" w:rsidRDefault="007349EE" w:rsidP="00530A66">
      <w:pPr>
        <w:pStyle w:val="Odstavecseseznamem"/>
        <w:numPr>
          <w:ilvl w:val="0"/>
          <w:numId w:val="3"/>
        </w:numPr>
        <w:spacing w:before="60"/>
        <w:jc w:val="both"/>
      </w:pPr>
      <w:r w:rsidRPr="00E93938">
        <w:t>Dotace je po</w:t>
      </w:r>
      <w:r w:rsidR="00E93938">
        <w:t>skytována k následujícímu účelu</w:t>
      </w:r>
      <w:r w:rsidRPr="00E93938">
        <w:t xml:space="preserve">: </w:t>
      </w:r>
      <w:r w:rsidRPr="003522E8">
        <w:rPr>
          <w:b/>
        </w:rPr>
        <w:t>Zajištění činnosti spolku TJ Bystřička včetně údržby sportovního zařízení spolku v roce 201</w:t>
      </w:r>
      <w:r w:rsidR="00D22D12">
        <w:rPr>
          <w:b/>
        </w:rPr>
        <w:t>9</w:t>
      </w:r>
      <w:r w:rsidRPr="00E93938">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předchozím odstav</w:t>
      </w:r>
      <w:r w:rsidR="00D22D12">
        <w:t xml:space="preserve">ci má být dosaženo do </w:t>
      </w:r>
      <w:proofErr w:type="gramStart"/>
      <w:r w:rsidR="00D22D12">
        <w:t>31.12.2019</w:t>
      </w:r>
      <w:proofErr w:type="gramEnd"/>
      <w:r w:rsidRPr="00E93938">
        <w:t>.</w:t>
      </w:r>
    </w:p>
    <w:p w:rsidR="003D19A5" w:rsidRPr="00E93938" w:rsidRDefault="003D19A5" w:rsidP="003D19A5">
      <w:pPr>
        <w:pStyle w:val="Odstavecseseznamem"/>
      </w:pPr>
    </w:p>
    <w:p w:rsidR="007349EE" w:rsidRPr="00E93938" w:rsidRDefault="007349EE" w:rsidP="00A2647B">
      <w:pPr>
        <w:pStyle w:val="Odstavecseseznamem"/>
        <w:numPr>
          <w:ilvl w:val="0"/>
          <w:numId w:val="3"/>
        </w:numPr>
        <w:spacing w:beforeLines="60"/>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7349EE" w:rsidRPr="00E93938" w:rsidRDefault="007349EE" w:rsidP="00214027">
      <w:pPr>
        <w:pStyle w:val="Odstavecseseznamem"/>
        <w:numPr>
          <w:ilvl w:val="0"/>
          <w:numId w:val="5"/>
        </w:numPr>
        <w:ind w:left="714" w:hanging="357"/>
        <w:jc w:val="both"/>
      </w:pPr>
      <w:r w:rsidRPr="00E93938">
        <w:t>náklady spojené s provozem příjemce, jako např. náklady na materiál, energie, služby, opravu a údržbu majetku příjemce, včetně nákladů na údržbu sportovního zařízení</w:t>
      </w:r>
    </w:p>
    <w:p w:rsidR="007349EE" w:rsidRPr="00E93938" w:rsidRDefault="007349EE" w:rsidP="00D679C3">
      <w:pPr>
        <w:pStyle w:val="Odstavecseseznamem"/>
        <w:numPr>
          <w:ilvl w:val="0"/>
          <w:numId w:val="5"/>
        </w:numPr>
        <w:spacing w:before="60"/>
        <w:ind w:left="714" w:hanging="357"/>
        <w:jc w:val="both"/>
      </w:pPr>
      <w:r w:rsidRPr="00E93938">
        <w:t>náklady na akce konané v přímé souvislosti s účelem, na který je dotace poskytována</w:t>
      </w:r>
    </w:p>
    <w:p w:rsidR="007349EE" w:rsidRPr="00E93938" w:rsidRDefault="007349EE" w:rsidP="00D679C3">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pStyle w:val="Odstavecseseznamem"/>
        <w:numPr>
          <w:ilvl w:val="0"/>
          <w:numId w:val="5"/>
        </w:numPr>
        <w:ind w:left="714" w:hanging="357"/>
        <w:jc w:val="both"/>
      </w:pPr>
      <w:r w:rsidRPr="00E93938">
        <w:t>mzdy zaměstnanců příjemce a odměny z dohod konaných mimo pracovní poměr dle zákona č. 262/2006 Sb., zákoník práce, ve znění pozdějších předpisů</w:t>
      </w:r>
    </w:p>
    <w:p w:rsidR="00B93867" w:rsidRPr="00E93938" w:rsidRDefault="007349EE" w:rsidP="00513D52">
      <w:pPr>
        <w:pStyle w:val="Odstavecseseznamem"/>
        <w:numPr>
          <w:ilvl w:val="0"/>
          <w:numId w:val="5"/>
        </w:numPr>
        <w:ind w:left="714" w:hanging="357"/>
        <w:jc w:val="both"/>
      </w:pPr>
      <w:r w:rsidRPr="00E93938">
        <w:t xml:space="preserve">odvody na sociální a zdravotní pojištění zaměstnanců příjemce </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r w:rsidR="003D19A5" w:rsidRPr="00E93938">
        <w:rPr>
          <w:b/>
        </w:rPr>
        <w:t xml:space="preserve">, doba vrácení nevyčerpané části dotace </w:t>
      </w:r>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w:t>
      </w:r>
      <w:r w:rsidR="00D22D12">
        <w:t xml:space="preserve"> vypořádání dotace do </w:t>
      </w:r>
      <w:proofErr w:type="gramStart"/>
      <w:r w:rsidR="00D22D12">
        <w:t>30.10.2019</w:t>
      </w:r>
      <w:proofErr w:type="gramEnd"/>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t>Nevyčerpanou část dotace je příjem</w:t>
      </w:r>
      <w:r w:rsidR="00E241C1">
        <w:t xml:space="preserve">ce povinen vrátit ve lhůtě do </w:t>
      </w:r>
      <w:proofErr w:type="gramStart"/>
      <w:r w:rsidR="00E241C1">
        <w:t>31</w:t>
      </w:r>
      <w:r w:rsidRPr="00E93938">
        <w:t>.</w:t>
      </w:r>
      <w:r w:rsidR="00D22D12">
        <w:t>12.2019</w:t>
      </w:r>
      <w:proofErr w:type="gramEnd"/>
      <w:r w:rsidRPr="00E93938">
        <w:t>. Vrácení prostředků nezakládá právo příjemce na dočerpání finančních prostředků v následujícím roce.</w:t>
      </w:r>
    </w:p>
    <w:p w:rsidR="007349EE" w:rsidRPr="00E93938" w:rsidRDefault="007349EE" w:rsidP="00513D52">
      <w:pPr>
        <w:jc w:val="both"/>
      </w:pPr>
    </w:p>
    <w:p w:rsidR="007349EE" w:rsidRPr="00E93938" w:rsidRDefault="007349EE" w:rsidP="00513D52">
      <w:pPr>
        <w:pStyle w:val="Odstavecseseznamem"/>
        <w:numPr>
          <w:ilvl w:val="0"/>
          <w:numId w:val="6"/>
        </w:numPr>
        <w:spacing w:before="60"/>
        <w:jc w:val="both"/>
      </w:pPr>
      <w:r w:rsidRPr="00E93938">
        <w:t xml:space="preserve">Příjemce je povinen zajistit ve svém účetnictví vedení evidence související s účelem poskytnutí dotace, tzn. </w:t>
      </w:r>
      <w:r w:rsidR="004C0CCC" w:rsidRPr="00E93938">
        <w:t>d</w:t>
      </w:r>
      <w:r w:rsidRPr="00E93938">
        <w:t>oklady</w:t>
      </w:r>
      <w:r w:rsidR="00E93938">
        <w:t>,</w:t>
      </w:r>
      <w:r w:rsidRPr="00E93938">
        <w:t xml:space="preserve"> prokazující využití dotace</w:t>
      </w:r>
      <w:r w:rsidR="00E93938">
        <w:t>,</w:t>
      </w:r>
      <w:r w:rsidRPr="00E93938">
        <w:t xml:space="preserve"> musí být viditelně označeny „Dotace obce Bystřička“ (označeny musí být již originály dokladů).</w:t>
      </w:r>
      <w:r w:rsidRPr="00E93938">
        <w:rPr>
          <w:color w:val="00B050"/>
        </w:rPr>
        <w:t xml:space="preserve"> </w:t>
      </w:r>
      <w:r w:rsidRPr="00E93938">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7349EE" w:rsidRPr="00E93938" w:rsidRDefault="007349EE" w:rsidP="00513D52">
      <w:pPr>
        <w:spacing w:before="60"/>
        <w:ind w:left="425" w:hanging="425"/>
        <w:jc w:val="both"/>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7349EE" w:rsidRPr="00E93938" w:rsidRDefault="007349EE" w:rsidP="00E93938">
      <w:pPr>
        <w:pStyle w:val="Odstavecseseznamem"/>
        <w:spacing w:before="60"/>
        <w:ind w:left="0"/>
        <w:jc w:val="both"/>
      </w:pPr>
      <w:r w:rsidRPr="00E93938">
        <w:t xml:space="preserve">Příjemce je povinen do 15 dnů oznámit poskytovateli zahájení insolvenčního řízení, vstup právnické osoby do likvidace, změnu statutárního orgánu nebo jeho člena, změnu názvu, bankovního spojení, sídla či adresy. </w:t>
      </w:r>
    </w:p>
    <w:p w:rsidR="007349EE" w:rsidRPr="00E93938" w:rsidRDefault="007349EE" w:rsidP="00841EF9">
      <w:pPr>
        <w:spacing w:before="60"/>
        <w:jc w:val="both"/>
        <w:rPr>
          <w:bCs/>
          <w:i/>
          <w:color w:val="00B050"/>
        </w:rPr>
      </w:pPr>
    </w:p>
    <w:p w:rsidR="007349EE" w:rsidRPr="00E93938" w:rsidRDefault="007349EE" w:rsidP="00A2647B">
      <w:pPr>
        <w:spacing w:beforeLines="50" w:afterLines="50"/>
        <w:ind w:left="425" w:hanging="425"/>
        <w:jc w:val="center"/>
        <w:rPr>
          <w:b/>
        </w:rPr>
      </w:pPr>
      <w:r w:rsidRPr="00E93938">
        <w:rPr>
          <w:b/>
        </w:rPr>
        <w:t>VI.</w:t>
      </w:r>
    </w:p>
    <w:p w:rsidR="007349EE" w:rsidRPr="00E93938" w:rsidRDefault="007349EE" w:rsidP="00A2647B">
      <w:pPr>
        <w:spacing w:beforeLines="50" w:afterLines="10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513D52">
      <w:pPr>
        <w:pStyle w:val="Zkladntext"/>
        <w:tabs>
          <w:tab w:val="left" w:pos="426"/>
        </w:tabs>
        <w:spacing w:before="60"/>
        <w:ind w:right="0"/>
        <w:rPr>
          <w:rFonts w:ascii="Times New Roman" w:hAnsi="Times New Roman"/>
          <w:b/>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Smlouvu lze ukončit na základě písemné dohody obou smluvních stran nebo písemnou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A2647B">
      <w:pPr>
        <w:pStyle w:val="Odstavecseseznamem"/>
        <w:numPr>
          <w:ilvl w:val="0"/>
          <w:numId w:val="16"/>
        </w:numPr>
        <w:spacing w:beforeLines="60"/>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A2647B">
      <w:pPr>
        <w:pStyle w:val="Odstavecseseznamem"/>
        <w:numPr>
          <w:ilvl w:val="0"/>
          <w:numId w:val="16"/>
        </w:numPr>
        <w:spacing w:beforeLines="60"/>
        <w:jc w:val="both"/>
      </w:pPr>
      <w:r w:rsidRPr="00E93938">
        <w:t>v insolvenční řízení podle zákona č. 182/2006 Sb., o úpadku a způsobech jeho řešení, ve znění pozdějších předpisů, bylo rozhodnuto o úpadku</w:t>
      </w:r>
    </w:p>
    <w:p w:rsidR="007349EE" w:rsidRPr="00E93938" w:rsidRDefault="007349EE" w:rsidP="00A2647B">
      <w:pPr>
        <w:pStyle w:val="Odstavecseseznamem"/>
        <w:numPr>
          <w:ilvl w:val="0"/>
          <w:numId w:val="16"/>
        </w:numPr>
        <w:spacing w:beforeLines="60"/>
        <w:jc w:val="both"/>
      </w:pPr>
      <w:r w:rsidRPr="00E93938">
        <w:t>příjemce uvedl nepravdivé, neúplné nebo zkreslené údaje, na které se váže uzavření této Smlouvy,</w:t>
      </w:r>
    </w:p>
    <w:p w:rsidR="007349EE" w:rsidRPr="00E93938" w:rsidRDefault="007349EE" w:rsidP="00A2647B">
      <w:pPr>
        <w:pStyle w:val="Odstavecseseznamem"/>
        <w:numPr>
          <w:ilvl w:val="0"/>
          <w:numId w:val="16"/>
        </w:numPr>
        <w:spacing w:beforeLines="60"/>
        <w:jc w:val="both"/>
      </w:pPr>
      <w:r w:rsidRPr="00E93938">
        <w:lastRenderedPageBreak/>
        <w:t xml:space="preserve">je v likvidaci, </w:t>
      </w:r>
    </w:p>
    <w:p w:rsidR="007349EE" w:rsidRPr="00E93938" w:rsidRDefault="007349EE" w:rsidP="00A2647B">
      <w:pPr>
        <w:pStyle w:val="Odstavecseseznamem"/>
        <w:numPr>
          <w:ilvl w:val="0"/>
          <w:numId w:val="16"/>
        </w:numPr>
        <w:spacing w:beforeLines="60"/>
        <w:jc w:val="both"/>
      </w:pPr>
      <w:r w:rsidRPr="00E93938">
        <w:t xml:space="preserve">změní právní formu a stane se tak nezpůsobilým příjemcem dotace pro danou oblast podpory, </w:t>
      </w:r>
    </w:p>
    <w:p w:rsidR="007349EE" w:rsidRPr="00E93938" w:rsidRDefault="007349EE" w:rsidP="00A2647B">
      <w:pPr>
        <w:pStyle w:val="Odstavecseseznamem"/>
        <w:numPr>
          <w:ilvl w:val="0"/>
          <w:numId w:val="16"/>
        </w:numPr>
        <w:spacing w:beforeLines="60"/>
        <w:jc w:val="both"/>
      </w:pPr>
      <w:r w:rsidRPr="00E93938">
        <w:t xml:space="preserve">opakovaně neplní povinnosti stanovené Smlouvou, i když byl k jejich nápravě vyzván poskytovatelem. </w:t>
      </w:r>
    </w:p>
    <w:p w:rsidR="007349EE" w:rsidRPr="00E93938" w:rsidRDefault="007349EE" w:rsidP="00A2647B">
      <w:pPr>
        <w:pStyle w:val="Odstavecseseznamem"/>
        <w:spacing w:beforeLines="60"/>
        <w:ind w:left="1590"/>
        <w:jc w:val="both"/>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rFonts w:ascii="Times New Roman" w:hAnsi="Times New Roman"/>
          <w:i/>
          <w:szCs w:val="24"/>
        </w:rPr>
        <w:t xml:space="preserve">. </w:t>
      </w:r>
    </w:p>
    <w:p w:rsidR="007349EE" w:rsidRPr="00E93938" w:rsidRDefault="007349EE" w:rsidP="00E93938">
      <w:pPr>
        <w:pStyle w:val="Zkladntext"/>
        <w:tabs>
          <w:tab w:val="left" w:pos="426"/>
        </w:tabs>
        <w:spacing w:line="276" w:lineRule="auto"/>
        <w:ind w:left="425" w:right="0" w:hanging="426"/>
        <w:rPr>
          <w:rFonts w:ascii="Times New Roman" w:hAnsi="Times New Roman"/>
          <w:szCs w:val="24"/>
        </w:rPr>
      </w:pPr>
    </w:p>
    <w:p w:rsidR="007349EE" w:rsidRDefault="007349EE" w:rsidP="00E93938">
      <w:pPr>
        <w:pStyle w:val="Zkladntext"/>
        <w:tabs>
          <w:tab w:val="left" w:pos="426"/>
        </w:tabs>
        <w:spacing w:line="276" w:lineRule="auto"/>
        <w:ind w:right="0"/>
        <w:rPr>
          <w:rFonts w:ascii="Times New Roman" w:hAnsi="Times New Roman"/>
          <w:szCs w:val="24"/>
        </w:rPr>
      </w:pPr>
      <w:r w:rsidRPr="00E93938">
        <w:rPr>
          <w:rFonts w:ascii="Times New Roman" w:hAnsi="Times New Roman"/>
          <w:szCs w:val="24"/>
        </w:rPr>
        <w:t>Výpověď Smlouvy musí být učiněna písemně a mu</w:t>
      </w:r>
      <w:r w:rsidR="004C0CCC" w:rsidRPr="00E93938">
        <w:rPr>
          <w:rFonts w:ascii="Times New Roman" w:hAnsi="Times New Roman"/>
          <w:szCs w:val="24"/>
        </w:rPr>
        <w:t>sí být odůvodněna</w:t>
      </w:r>
      <w:r w:rsidRPr="00E93938">
        <w:rPr>
          <w:rFonts w:ascii="Times New Roman" w:hAnsi="Times New Roman"/>
          <w:szCs w:val="24"/>
        </w:rPr>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E93938">
      <w:pPr>
        <w:pStyle w:val="Zkladntext"/>
        <w:tabs>
          <w:tab w:val="left" w:pos="426"/>
        </w:tabs>
        <w:ind w:right="0"/>
        <w:rPr>
          <w:rFonts w:ascii="Times New Roman" w:hAnsi="Times New Roman"/>
          <w:szCs w:val="24"/>
        </w:rPr>
      </w:pPr>
      <w:r w:rsidRPr="00E93938">
        <w:rPr>
          <w:rFonts w:ascii="Times New Roman" w:hAnsi="Times New Roman"/>
          <w:szCs w:val="24"/>
        </w:rPr>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4C0CCC">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AF20E6">
      <w:pPr>
        <w:pStyle w:val="Zkladntext"/>
        <w:tabs>
          <w:tab w:val="left" w:pos="426"/>
        </w:tabs>
        <w:spacing w:before="60"/>
        <w:ind w:right="0"/>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Dohoda o ukončení Smlouvy nabývá účinnosti dnem připsání vrácených peněžních prostředků na účet poskytovatele</w:t>
      </w:r>
      <w:r w:rsidRPr="00E93938">
        <w:rPr>
          <w:rFonts w:ascii="Times New Roman" w:hAnsi="Times New Roman"/>
          <w:i/>
          <w:szCs w:val="24"/>
        </w:rPr>
        <w:t xml:space="preserve">, </w:t>
      </w:r>
      <w:r w:rsidRPr="00E93938">
        <w:rPr>
          <w:rFonts w:ascii="Times New Roman" w:hAnsi="Times New Roman"/>
          <w:szCs w:val="24"/>
        </w:rPr>
        <w:t>nedohodnou-li se smluvní strany jinak.</w:t>
      </w:r>
    </w:p>
    <w:p w:rsidR="007349EE" w:rsidRPr="00E93938" w:rsidRDefault="007349EE" w:rsidP="00513D52">
      <w:pPr>
        <w:pStyle w:val="Zkladntext"/>
        <w:tabs>
          <w:tab w:val="left" w:pos="426"/>
        </w:tabs>
        <w:spacing w:before="60"/>
        <w:ind w:left="425"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E93938" w:rsidRPr="00E93938" w:rsidRDefault="00E93938" w:rsidP="00513D52">
      <w:pPr>
        <w:pStyle w:val="Zkladntext"/>
        <w:tabs>
          <w:tab w:val="left" w:pos="426"/>
        </w:tabs>
        <w:spacing w:before="60"/>
        <w:ind w:left="720" w:right="0"/>
        <w:rPr>
          <w:rFonts w:ascii="Times New Roman" w:hAnsi="Times New Roman"/>
          <w:szCs w:val="24"/>
        </w:rPr>
      </w:pPr>
    </w:p>
    <w:p w:rsidR="007349EE" w:rsidRPr="00E93938" w:rsidRDefault="007349EE" w:rsidP="00A2647B">
      <w:pPr>
        <w:pStyle w:val="Zkladntext"/>
        <w:spacing w:afterLines="5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794B08">
      <w:pPr>
        <w:pStyle w:val="Zkladntext"/>
        <w:spacing w:before="60"/>
        <w:ind w:right="142"/>
        <w:rPr>
          <w:rFonts w:ascii="Times New Roman" w:hAnsi="Times New Roman"/>
          <w:i/>
          <w:color w:val="00B050"/>
          <w:szCs w:val="24"/>
        </w:rPr>
      </w:pPr>
      <w:r w:rsidRPr="00E93938">
        <w:rPr>
          <w:rFonts w:ascii="Times New Roman" w:hAnsi="Times New Roman"/>
          <w:szCs w:val="24"/>
        </w:rPr>
        <w:t>Jako kontaktní místo poskytovatele se pro účely této smlouvy stanovuje:  Obecní úřad v Bystřičce, Bystřička čp. 82</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bezvýhradně souhlasí se zveřejněním všech údajů obsažených v této smlouvě.</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C1112D">
        <w:t>hodnuto orgánem obce:</w:t>
      </w:r>
      <w:r w:rsidR="00C1112D">
        <w:tab/>
        <w:t>ZO Bystřička</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C1112D">
        <w:t>ní a číslo us</w:t>
      </w:r>
      <w:r w:rsidR="005010E8">
        <w:t>nesení: 13</w:t>
      </w:r>
      <w:r w:rsidR="009339BE">
        <w:t>.</w:t>
      </w:r>
      <w:r w:rsidR="005010E8">
        <w:t>3.2019 pod číslem</w:t>
      </w:r>
      <w:r w:rsidR="00A2647B">
        <w:t xml:space="preserve"> 4/6</w:t>
      </w:r>
      <w:r w:rsidR="005010E8">
        <w:t xml:space="preserve"> </w:t>
      </w: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C1112D" w:rsidP="00513D52">
      <w:pPr>
        <w:pStyle w:val="Zkladntext"/>
        <w:tabs>
          <w:tab w:val="left" w:pos="5245"/>
        </w:tabs>
        <w:ind w:left="426" w:hanging="426"/>
        <w:rPr>
          <w:rFonts w:ascii="Times New Roman" w:hAnsi="Times New Roman"/>
          <w:szCs w:val="24"/>
        </w:rPr>
      </w:pPr>
      <w:r>
        <w:rPr>
          <w:rFonts w:ascii="Times New Roman" w:hAnsi="Times New Roman"/>
          <w:szCs w:val="24"/>
        </w:rPr>
        <w:t>V Bystřičce</w:t>
      </w:r>
      <w:r w:rsidR="007349EE" w:rsidRPr="00E93938">
        <w:rPr>
          <w:rFonts w:ascii="Times New Roman" w:hAnsi="Times New Roman"/>
          <w:szCs w:val="24"/>
        </w:rPr>
        <w:t xml:space="preserve"> dne</w:t>
      </w:r>
      <w:r w:rsidR="00EF58E2">
        <w:rPr>
          <w:rFonts w:ascii="Times New Roman" w:hAnsi="Times New Roman"/>
          <w:szCs w:val="24"/>
        </w:rPr>
        <w:tab/>
      </w:r>
      <w:r w:rsidR="00EF58E2">
        <w:rPr>
          <w:rFonts w:ascii="Times New Roman" w:hAnsi="Times New Roman"/>
          <w:szCs w:val="24"/>
        </w:rPr>
        <w:tab/>
      </w:r>
      <w:r w:rsidR="00D22D12">
        <w:rPr>
          <w:rFonts w:ascii="Times New Roman" w:hAnsi="Times New Roman"/>
          <w:szCs w:val="24"/>
        </w:rPr>
        <w:t xml:space="preserve">  </w:t>
      </w:r>
      <w:r w:rsidR="00D22D12">
        <w:rPr>
          <w:rFonts w:ascii="Times New Roman" w:hAnsi="Times New Roman"/>
          <w:szCs w:val="24"/>
        </w:rPr>
        <w:tab/>
        <w:t xml:space="preserve">    V Bystřičce dne </w:t>
      </w:r>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 xml:space="preserve">Zbyněk Fojtíček               </w:t>
      </w:r>
      <w:r w:rsidRPr="00E93938">
        <w:tab/>
      </w:r>
      <w:r w:rsidRPr="00E93938">
        <w:tab/>
      </w:r>
      <w:r w:rsidRPr="00E93938">
        <w:tab/>
      </w:r>
      <w:r w:rsidRPr="00E93938">
        <w:tab/>
      </w:r>
      <w:r w:rsidRPr="00E93938">
        <w:tab/>
        <w:t>Ivan Výmola</w:t>
      </w:r>
    </w:p>
    <w:p w:rsidR="007349EE" w:rsidRPr="00E93938" w:rsidRDefault="007349EE" w:rsidP="00056E98">
      <w:pPr>
        <w:ind w:left="708"/>
      </w:pPr>
      <w:r w:rsidRPr="00E93938">
        <w:t xml:space="preserve">   </w:t>
      </w:r>
      <w:proofErr w:type="gramStart"/>
      <w:r w:rsidRPr="00E93938">
        <w:t>starosta                                                                        Předseda</w:t>
      </w:r>
      <w:proofErr w:type="gramEnd"/>
      <w:r w:rsidRPr="00E93938">
        <w:t xml:space="preserve"> výkonného výboru</w:t>
      </w:r>
    </w:p>
    <w:p w:rsidR="007349EE" w:rsidRPr="00E93938" w:rsidRDefault="007349EE" w:rsidP="000D614B">
      <w:pPr>
        <w:pStyle w:val="Zkladntext"/>
        <w:tabs>
          <w:tab w:val="left" w:pos="5245"/>
        </w:tabs>
        <w:ind w:left="426" w:hanging="426"/>
        <w:rPr>
          <w:rFonts w:ascii="Times New Roman" w:hAnsi="Times New Roman"/>
        </w:rPr>
      </w:pPr>
    </w:p>
    <w:p w:rsidR="006B35F0" w:rsidRDefault="006B35F0"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Pr="00E93938" w:rsidRDefault="00547FEC" w:rsidP="000D614B">
      <w:pPr>
        <w:pStyle w:val="Zkladntext"/>
        <w:tabs>
          <w:tab w:val="left" w:pos="5245"/>
        </w:tabs>
        <w:ind w:left="426" w:hanging="426"/>
        <w:rPr>
          <w:rFonts w:ascii="Times New Roman" w:hAnsi="Times New Roman"/>
        </w:rPr>
      </w:pPr>
      <w:bookmarkStart w:id="0" w:name="_GoBack"/>
      <w:bookmarkEnd w:id="0"/>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lastRenderedPageBreak/>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w:t>
      </w:r>
      <w:r w:rsidRPr="00E93938">
        <w:rPr>
          <w:rFonts w:ascii="Times New Roman" w:hAnsi="Times New Roman"/>
        </w:rPr>
        <w:lastRenderedPageBreak/>
        <w:t>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Poskytovatel písemně vyzve příjemce dotace k provedení opatření k nápravě 10a)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Rozhodnutí podle odstavce 9 písm. a) přezkoumává v přenesené působnosti krajský úřad </w:t>
      </w:r>
      <w:r w:rsidRPr="00E93938">
        <w:rPr>
          <w:rFonts w:ascii="Times New Roman" w:hAnsi="Times New Roman"/>
        </w:rPr>
        <w:lastRenderedPageBreak/>
        <w:t>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5">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9">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4">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2">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4">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6">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4"/>
  </w:num>
  <w:num w:numId="18">
    <w:abstractNumId w:val="10"/>
  </w:num>
  <w:num w:numId="19">
    <w:abstractNumId w:val="24"/>
  </w:num>
  <w:num w:numId="20">
    <w:abstractNumId w:val="1"/>
  </w:num>
  <w:num w:numId="21">
    <w:abstractNumId w:val="23"/>
  </w:num>
  <w:num w:numId="22">
    <w:abstractNumId w:val="2"/>
  </w:num>
  <w:num w:numId="23">
    <w:abstractNumId w:val="17"/>
  </w:num>
  <w:num w:numId="24">
    <w:abstractNumId w:val="15"/>
  </w:num>
  <w:num w:numId="25">
    <w:abstractNumId w:val="11"/>
  </w:num>
  <w:num w:numId="26">
    <w:abstractNumId w:val="22"/>
  </w:num>
  <w:num w:numId="27">
    <w:abstractNumId w:val="25"/>
  </w:num>
  <w:num w:numId="28">
    <w:abstractNumId w:val="5"/>
  </w:num>
  <w:num w:numId="29">
    <w:abstractNumId w:val="4"/>
  </w:num>
  <w:num w:numId="30">
    <w:abstractNumId w:val="13"/>
  </w:num>
  <w:num w:numId="31">
    <w:abstractNumId w:val="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compat/>
  <w:rsids>
    <w:rsidRoot w:val="00AA3FF9"/>
    <w:rsid w:val="00020EBB"/>
    <w:rsid w:val="000340FA"/>
    <w:rsid w:val="00056E98"/>
    <w:rsid w:val="000A4EE1"/>
    <w:rsid w:val="000A5C17"/>
    <w:rsid w:val="000D614B"/>
    <w:rsid w:val="00160AFA"/>
    <w:rsid w:val="00187B69"/>
    <w:rsid w:val="00203F1E"/>
    <w:rsid w:val="00214027"/>
    <w:rsid w:val="00284880"/>
    <w:rsid w:val="0029784D"/>
    <w:rsid w:val="00297C3C"/>
    <w:rsid w:val="002D019E"/>
    <w:rsid w:val="00316E64"/>
    <w:rsid w:val="00345879"/>
    <w:rsid w:val="003522E8"/>
    <w:rsid w:val="00390684"/>
    <w:rsid w:val="003D19A5"/>
    <w:rsid w:val="004472C4"/>
    <w:rsid w:val="00452EFD"/>
    <w:rsid w:val="004634F3"/>
    <w:rsid w:val="004B2C74"/>
    <w:rsid w:val="004C0CCC"/>
    <w:rsid w:val="004E7452"/>
    <w:rsid w:val="004F3730"/>
    <w:rsid w:val="005010E8"/>
    <w:rsid w:val="00513D52"/>
    <w:rsid w:val="00525476"/>
    <w:rsid w:val="00530A66"/>
    <w:rsid w:val="00547FEC"/>
    <w:rsid w:val="00591082"/>
    <w:rsid w:val="005A51DF"/>
    <w:rsid w:val="005F71CD"/>
    <w:rsid w:val="00615DCB"/>
    <w:rsid w:val="006645F9"/>
    <w:rsid w:val="00665BCF"/>
    <w:rsid w:val="00677661"/>
    <w:rsid w:val="00684566"/>
    <w:rsid w:val="006B35F0"/>
    <w:rsid w:val="00716372"/>
    <w:rsid w:val="007349EE"/>
    <w:rsid w:val="0076790B"/>
    <w:rsid w:val="00793AC0"/>
    <w:rsid w:val="00794B08"/>
    <w:rsid w:val="007D0081"/>
    <w:rsid w:val="007D2E7E"/>
    <w:rsid w:val="007D3E65"/>
    <w:rsid w:val="007F1B02"/>
    <w:rsid w:val="007F6398"/>
    <w:rsid w:val="00803BDE"/>
    <w:rsid w:val="00841EF9"/>
    <w:rsid w:val="0084734B"/>
    <w:rsid w:val="008717A5"/>
    <w:rsid w:val="008D2A4D"/>
    <w:rsid w:val="008E4B30"/>
    <w:rsid w:val="008F58CC"/>
    <w:rsid w:val="00931947"/>
    <w:rsid w:val="009339BE"/>
    <w:rsid w:val="009502A7"/>
    <w:rsid w:val="00971779"/>
    <w:rsid w:val="00983543"/>
    <w:rsid w:val="009A5871"/>
    <w:rsid w:val="009D6635"/>
    <w:rsid w:val="009F107E"/>
    <w:rsid w:val="009F4220"/>
    <w:rsid w:val="00A20BE0"/>
    <w:rsid w:val="00A2647B"/>
    <w:rsid w:val="00A828AC"/>
    <w:rsid w:val="00AA3FF9"/>
    <w:rsid w:val="00AF20E6"/>
    <w:rsid w:val="00AF3039"/>
    <w:rsid w:val="00B02FF0"/>
    <w:rsid w:val="00B364DF"/>
    <w:rsid w:val="00B44448"/>
    <w:rsid w:val="00B92E96"/>
    <w:rsid w:val="00B93867"/>
    <w:rsid w:val="00BA3B4D"/>
    <w:rsid w:val="00BE33FF"/>
    <w:rsid w:val="00C1112D"/>
    <w:rsid w:val="00C67F91"/>
    <w:rsid w:val="00C80781"/>
    <w:rsid w:val="00CB2B92"/>
    <w:rsid w:val="00CD7BB2"/>
    <w:rsid w:val="00CF4DAD"/>
    <w:rsid w:val="00D22D12"/>
    <w:rsid w:val="00D52549"/>
    <w:rsid w:val="00D661EE"/>
    <w:rsid w:val="00D67392"/>
    <w:rsid w:val="00D679C3"/>
    <w:rsid w:val="00D7740B"/>
    <w:rsid w:val="00D94A6C"/>
    <w:rsid w:val="00E241C1"/>
    <w:rsid w:val="00E804F0"/>
    <w:rsid w:val="00E85A44"/>
    <w:rsid w:val="00E93938"/>
    <w:rsid w:val="00EB7A5B"/>
    <w:rsid w:val="00ED45F5"/>
    <w:rsid w:val="00ED5803"/>
    <w:rsid w:val="00EF30E1"/>
    <w:rsid w:val="00EF58E2"/>
    <w:rsid w:val="00F4091B"/>
    <w:rsid w:val="00F62B0B"/>
    <w:rsid w:val="00F836C6"/>
    <w:rsid w:val="00FA00CD"/>
    <w:rsid w:val="00FA0896"/>
    <w:rsid w:val="00FC354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basedOn w:val="Standardnpsmoodstavce"/>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332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B296-9F12-4DF8-9575-E1FBCCB8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2781</Words>
  <Characters>16408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starosta</cp:lastModifiedBy>
  <cp:revision>4</cp:revision>
  <cp:lastPrinted>2018-03-28T07:32:00Z</cp:lastPrinted>
  <dcterms:created xsi:type="dcterms:W3CDTF">2019-02-25T16:14:00Z</dcterms:created>
  <dcterms:modified xsi:type="dcterms:W3CDTF">2019-03-19T12:25:00Z</dcterms:modified>
</cp:coreProperties>
</file>